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B5A7" w14:textId="150AE7C0" w:rsidR="00C609FE" w:rsidRDefault="00C609FE">
      <w:pPr>
        <w:pStyle w:val="BodyA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E696F04" wp14:editId="3674A0AB">
            <wp:extent cx="5080000" cy="1168400"/>
            <wp:effectExtent l="0" t="0" r="0" b="0"/>
            <wp:docPr id="637249116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49116" name="Picture 1" descr="A blue text on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A593" w14:textId="77777777" w:rsidR="00C609FE" w:rsidRDefault="00C609FE">
      <w:pPr>
        <w:pStyle w:val="BodyA"/>
        <w:jc w:val="center"/>
        <w:rPr>
          <w:b/>
          <w:bCs/>
          <w:sz w:val="30"/>
          <w:szCs w:val="30"/>
        </w:rPr>
      </w:pPr>
    </w:p>
    <w:p w14:paraId="6A6B9D2F" w14:textId="77777777" w:rsidR="00C609FE" w:rsidRDefault="00C609FE">
      <w:pPr>
        <w:pStyle w:val="BodyA"/>
        <w:jc w:val="center"/>
        <w:rPr>
          <w:b/>
          <w:bCs/>
          <w:sz w:val="30"/>
          <w:szCs w:val="30"/>
        </w:rPr>
      </w:pPr>
    </w:p>
    <w:p w14:paraId="31BDA106" w14:textId="33449DEF" w:rsidR="00BE7B88" w:rsidRPr="00C609FE" w:rsidRDefault="00000000">
      <w:pPr>
        <w:pStyle w:val="BodyA"/>
        <w:jc w:val="center"/>
        <w:rPr>
          <w:b/>
          <w:bCs/>
          <w:sz w:val="30"/>
          <w:szCs w:val="30"/>
        </w:rPr>
      </w:pPr>
      <w:r w:rsidRPr="00C609FE">
        <w:rPr>
          <w:b/>
          <w:bCs/>
          <w:sz w:val="30"/>
          <w:szCs w:val="30"/>
        </w:rPr>
        <w:t>Resource List for Nov. 15 AAWGT Education Program on</w:t>
      </w:r>
    </w:p>
    <w:p w14:paraId="52D72617" w14:textId="77777777" w:rsidR="00BE7B88" w:rsidRPr="00C609FE" w:rsidRDefault="00000000">
      <w:pPr>
        <w:pStyle w:val="BodyA"/>
        <w:jc w:val="center"/>
        <w:rPr>
          <w:b/>
          <w:bCs/>
          <w:sz w:val="30"/>
          <w:szCs w:val="30"/>
        </w:rPr>
      </w:pPr>
      <w:r w:rsidRPr="00C609FE">
        <w:rPr>
          <w:b/>
          <w:bCs/>
          <w:sz w:val="30"/>
          <w:szCs w:val="30"/>
        </w:rPr>
        <w:t>School Readiness</w:t>
      </w:r>
    </w:p>
    <w:p w14:paraId="18709442" w14:textId="77777777" w:rsidR="00BE7B88" w:rsidRDefault="00BE7B88">
      <w:pPr>
        <w:pStyle w:val="BodyB"/>
        <w:rPr>
          <w:rFonts w:ascii="Calibri" w:eastAsia="Calibri" w:hAnsi="Calibri" w:cs="Calibri"/>
          <w:kern w:val="2"/>
          <w:sz w:val="28"/>
          <w:szCs w:val="28"/>
        </w:rPr>
      </w:pPr>
    </w:p>
    <w:p w14:paraId="31F476A7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hyperlink r:id="rId8" w:history="1">
        <w:r>
          <w:rPr>
            <w:rStyle w:val="Hyperlink0"/>
            <w:rFonts w:ascii="Calibri" w:hAnsi="Calibri"/>
            <w:sz w:val="28"/>
            <w:szCs w:val="28"/>
          </w:rPr>
          <w:t>https://www.aacps.org/earlychildhood</w:t>
        </w:r>
      </w:hyperlink>
    </w:p>
    <w:p w14:paraId="0A78B3DF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color w:val="040EF2"/>
          <w:sz w:val="28"/>
          <w:szCs w:val="28"/>
        </w:rPr>
      </w:pPr>
      <w:hyperlink r:id="rId9" w:history="1">
        <w:r>
          <w:rPr>
            <w:rStyle w:val="Hyperlink1"/>
            <w:rFonts w:ascii="Calibri" w:hAnsi="Calibri"/>
            <w:sz w:val="28"/>
            <w:szCs w:val="28"/>
          </w:rPr>
          <w:t>https://www.aacounty.org/partnership-for-children-youth-and-families</w:t>
        </w:r>
      </w:hyperlink>
    </w:p>
    <w:p w14:paraId="53992543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hyperlink r:id="rId10" w:history="1">
        <w:r>
          <w:rPr>
            <w:rStyle w:val="Hyperlink1"/>
            <w:rFonts w:ascii="Calibri" w:hAnsi="Calibri"/>
            <w:sz w:val="28"/>
            <w:szCs w:val="28"/>
          </w:rPr>
          <w:t>https://www.cfaac.org/needs-assessment.html</w:t>
        </w:r>
      </w:hyperlink>
      <w:r>
        <w:rPr>
          <w:rStyle w:val="None"/>
          <w:rFonts w:ascii="Calibri" w:hAnsi="Calibri"/>
          <w:kern w:val="2"/>
          <w:sz w:val="28"/>
          <w:szCs w:val="28"/>
          <w:u w:color="040EF2"/>
        </w:rPr>
        <w:t xml:space="preserve"> (Poverty Amidst Plenty VII)</w:t>
      </w:r>
    </w:p>
    <w:p w14:paraId="35375E79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hyperlink r:id="rId11" w:history="1">
        <w:r>
          <w:rPr>
            <w:rStyle w:val="Hyperlink1"/>
            <w:rFonts w:ascii="Calibri" w:hAnsi="Calibri"/>
            <w:sz w:val="28"/>
            <w:szCs w:val="28"/>
          </w:rPr>
          <w:t>www.aacpl.net/kindergarten</w:t>
        </w:r>
      </w:hyperlink>
    </w:p>
    <w:p w14:paraId="28300759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hyperlink r:id="rId12" w:history="1">
        <w:r>
          <w:rPr>
            <w:rStyle w:val="Hyperlink2"/>
            <w:rFonts w:ascii="Calibri" w:hAnsi="Calibri"/>
            <w:sz w:val="28"/>
            <w:szCs w:val="28"/>
          </w:rPr>
          <w:t>1000 Books Before Kindergarten</w:t>
        </w:r>
      </w:hyperlink>
    </w:p>
    <w:p w14:paraId="5596AE6F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sz w:val="28"/>
          <w:szCs w:val="28"/>
        </w:rPr>
      </w:pPr>
      <w:hyperlink r:id="rId13" w:history="1">
        <w:r>
          <w:rPr>
            <w:rStyle w:val="Hyperlink1"/>
            <w:rFonts w:ascii="Calibri" w:hAnsi="Calibri"/>
            <w:sz w:val="28"/>
            <w:szCs w:val="28"/>
          </w:rPr>
          <w:t>Community pantry</w:t>
        </w:r>
      </w:hyperlink>
      <w:r>
        <w:rPr>
          <w:rStyle w:val="None"/>
          <w:rFonts w:ascii="Calibri" w:hAnsi="Calibri"/>
          <w:kern w:val="2"/>
          <w:sz w:val="28"/>
          <w:szCs w:val="28"/>
        </w:rPr>
        <w:t xml:space="preserve"> (at Discoveries: The Library at the Mall)</w:t>
      </w:r>
    </w:p>
    <w:p w14:paraId="10AEAEA5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color w:val="081CF5"/>
          <w:sz w:val="28"/>
          <w:szCs w:val="28"/>
        </w:rPr>
      </w:pPr>
      <w:hyperlink r:id="rId14" w:history="1">
        <w:r>
          <w:rPr>
            <w:rStyle w:val="Hyperlink1"/>
            <w:rFonts w:ascii="Calibri" w:hAnsi="Calibri"/>
            <w:sz w:val="28"/>
            <w:szCs w:val="28"/>
          </w:rPr>
          <w:t>https://aaccaa.org/early-</w:t>
        </w:r>
        <w:r>
          <w:rPr>
            <w:rStyle w:val="Hyperlink1"/>
            <w:rFonts w:ascii="Calibri" w:hAnsi="Calibri"/>
            <w:sz w:val="28"/>
            <w:szCs w:val="28"/>
          </w:rPr>
          <w:t>h</w:t>
        </w:r>
        <w:r>
          <w:rPr>
            <w:rStyle w:val="Hyperlink1"/>
            <w:rFonts w:ascii="Calibri" w:hAnsi="Calibri"/>
            <w:sz w:val="28"/>
            <w:szCs w:val="28"/>
          </w:rPr>
          <w:t>ead-start/</w:t>
        </w:r>
      </w:hyperlink>
    </w:p>
    <w:p w14:paraId="186EAD03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color w:val="081CF5"/>
          <w:sz w:val="28"/>
          <w:szCs w:val="28"/>
        </w:rPr>
      </w:pPr>
      <w:hyperlink r:id="rId15" w:history="1">
        <w:r>
          <w:rPr>
            <w:rStyle w:val="Hyperlink1"/>
            <w:rFonts w:ascii="Calibri" w:hAnsi="Calibri"/>
            <w:sz w:val="28"/>
            <w:szCs w:val="28"/>
          </w:rPr>
          <w:t>https://www.readyatfive.org/</w:t>
        </w:r>
      </w:hyperlink>
    </w:p>
    <w:p w14:paraId="68F000FD" w14:textId="77777777" w:rsidR="00BE7B88" w:rsidRDefault="00000000">
      <w:pPr>
        <w:pStyle w:val="BodyB"/>
        <w:numPr>
          <w:ilvl w:val="0"/>
          <w:numId w:val="2"/>
        </w:numPr>
        <w:rPr>
          <w:rFonts w:ascii="Calibri" w:eastAsia="Calibri" w:hAnsi="Calibri" w:cs="Calibri"/>
          <w:color w:val="081CF5"/>
          <w:sz w:val="28"/>
          <w:szCs w:val="28"/>
        </w:rPr>
      </w:pPr>
      <w:hyperlink r:id="rId16" w:history="1">
        <w:r>
          <w:rPr>
            <w:rStyle w:val="Hyperlink3"/>
            <w:rFonts w:ascii="Calibri" w:hAnsi="Calibri"/>
            <w:sz w:val="28"/>
            <w:szCs w:val="28"/>
          </w:rPr>
          <w:t>https://www.zerotothree.org/issue-areas/early-learning/</w:t>
        </w:r>
      </w:hyperlink>
    </w:p>
    <w:p w14:paraId="5A62CCE4" w14:textId="77777777" w:rsidR="00BE7B88" w:rsidRDefault="00BE7B88">
      <w:pPr>
        <w:pStyle w:val="BodyB"/>
        <w:rPr>
          <w:rStyle w:val="None"/>
          <w:rFonts w:ascii="Calibri" w:eastAsia="Calibri" w:hAnsi="Calibri" w:cs="Calibri"/>
          <w:color w:val="081CF5"/>
          <w:sz w:val="28"/>
          <w:szCs w:val="28"/>
          <w:u w:color="081CF5"/>
        </w:rPr>
      </w:pPr>
    </w:p>
    <w:p w14:paraId="285F0178" w14:textId="62F2900E" w:rsidR="00BE7B88" w:rsidRDefault="00000000" w:rsidP="005166B0">
      <w:pPr>
        <w:pStyle w:val="BodyB"/>
        <w:rPr>
          <w:rStyle w:val="None"/>
          <w:rFonts w:ascii="Calibri" w:hAnsi="Calibri" w:cs="Calibri"/>
          <w:sz w:val="28"/>
          <w:szCs w:val="28"/>
          <w:u w:color="0067D9"/>
          <w:shd w:val="clear" w:color="auto" w:fill="FFFFFF"/>
        </w:rPr>
      </w:pPr>
      <w:r w:rsidRPr="00C609FE">
        <w:rPr>
          <w:rStyle w:val="None"/>
          <w:rFonts w:ascii="Calibri" w:hAnsi="Calibri"/>
          <w:color w:val="000000" w:themeColor="text1"/>
          <w:sz w:val="28"/>
          <w:szCs w:val="28"/>
          <w:u w:color="081CF5"/>
        </w:rPr>
        <w:t>H.R. 5894, the House FY24 Labor, Health and Human Services, Education, and</w:t>
      </w:r>
      <w:r w:rsidR="00C609FE">
        <w:rPr>
          <w:rStyle w:val="None"/>
          <w:rFonts w:ascii="Calibri" w:hAnsi="Calibri"/>
          <w:color w:val="000000" w:themeColor="text1"/>
          <w:sz w:val="28"/>
          <w:szCs w:val="28"/>
          <w:u w:color="081CF5"/>
        </w:rPr>
        <w:t xml:space="preserve"> </w:t>
      </w:r>
      <w:r w:rsidRPr="00C609FE">
        <w:rPr>
          <w:rStyle w:val="None"/>
          <w:rFonts w:ascii="Calibri" w:hAnsi="Calibri"/>
          <w:color w:val="000000" w:themeColor="text1"/>
          <w:sz w:val="28"/>
          <w:szCs w:val="28"/>
          <w:u w:color="081CF5"/>
        </w:rPr>
        <w:t>Related Agencies Appropriations Act that was mentioned during the program has been pulled temporarily. But please continue to advocate for it</w:t>
      </w:r>
      <w:r w:rsidR="005166B0">
        <w:rPr>
          <w:rStyle w:val="None"/>
          <w:rFonts w:ascii="Calibri" w:hAnsi="Calibri"/>
          <w:color w:val="000000" w:themeColor="text1"/>
          <w:sz w:val="28"/>
          <w:szCs w:val="28"/>
          <w:u w:color="081CF5"/>
        </w:rPr>
        <w:t xml:space="preserve">. Learn more here: </w:t>
      </w:r>
      <w:hyperlink r:id="rId17" w:history="1">
        <w:r w:rsidR="005166B0" w:rsidRPr="00F72E43">
          <w:rPr>
            <w:rStyle w:val="Hyperlink"/>
            <w:rFonts w:ascii="Calibri" w:eastAsia="Arial" w:hAnsi="Calibri" w:cs="Calibri"/>
            <w:sz w:val="28"/>
            <w:szCs w:val="28"/>
            <w:shd w:val="clear" w:color="auto" w:fill="FFFFFF"/>
          </w:rPr>
          <w:t>https://nhsa.org/take-action/?vvsrc=%2fCampai</w:t>
        </w:r>
        <w:r w:rsidR="005166B0" w:rsidRPr="00F72E43">
          <w:rPr>
            <w:rStyle w:val="Hyperlink"/>
            <w:rFonts w:ascii="Calibri" w:eastAsia="Arial" w:hAnsi="Calibri" w:cs="Calibri"/>
            <w:sz w:val="28"/>
            <w:szCs w:val="28"/>
            <w:shd w:val="clear" w:color="auto" w:fill="FFFFFF"/>
          </w:rPr>
          <w:t>g</w:t>
        </w:r>
        <w:r w:rsidR="005166B0" w:rsidRPr="00F72E43">
          <w:rPr>
            <w:rStyle w:val="Hyperlink"/>
            <w:rFonts w:ascii="Calibri" w:eastAsia="Arial" w:hAnsi="Calibri" w:cs="Calibri"/>
            <w:sz w:val="28"/>
            <w:szCs w:val="28"/>
            <w:shd w:val="clear" w:color="auto" w:fill="FFFFFF"/>
          </w:rPr>
          <w:t>ns%2f103764%2fResp</w:t>
        </w:r>
        <w:r w:rsidR="005166B0" w:rsidRPr="00F72E43">
          <w:rPr>
            <w:rStyle w:val="Hyperlink"/>
            <w:rFonts w:ascii="Calibri" w:eastAsia="Arial" w:hAnsi="Calibri" w:cs="Calibri"/>
            <w:sz w:val="28"/>
            <w:szCs w:val="28"/>
            <w:shd w:val="clear" w:color="auto" w:fill="FFFFFF"/>
          </w:rPr>
          <w:t>o</w:t>
        </w:r>
        <w:r w:rsidR="005166B0" w:rsidRPr="00F72E43">
          <w:rPr>
            <w:rStyle w:val="Hyperlink"/>
            <w:rFonts w:ascii="Calibri" w:eastAsia="Arial" w:hAnsi="Calibri" w:cs="Calibri"/>
            <w:sz w:val="28"/>
            <w:szCs w:val="28"/>
            <w:shd w:val="clear" w:color="auto" w:fill="FFFFFF"/>
          </w:rPr>
          <w:t>nd</w:t>
        </w:r>
      </w:hyperlink>
      <w:r w:rsidRPr="00C609FE">
        <w:rPr>
          <w:rStyle w:val="None"/>
          <w:rFonts w:ascii="Calibri" w:hAnsi="Calibri" w:cs="Calibri"/>
          <w:sz w:val="28"/>
          <w:szCs w:val="28"/>
          <w:u w:color="0067D9"/>
          <w:shd w:val="clear" w:color="auto" w:fill="FFFFFF"/>
        </w:rPr>
        <w:t xml:space="preserve"> </w:t>
      </w:r>
    </w:p>
    <w:p w14:paraId="3BD43CC4" w14:textId="77777777" w:rsidR="005166B0" w:rsidRDefault="005166B0" w:rsidP="005166B0">
      <w:pPr>
        <w:pStyle w:val="BodyB"/>
        <w:rPr>
          <w:rStyle w:val="None"/>
          <w:rFonts w:ascii="Calibri" w:hAnsi="Calibri" w:cs="Calibri"/>
          <w:sz w:val="28"/>
          <w:szCs w:val="28"/>
          <w:u w:color="0067D9"/>
          <w:shd w:val="clear" w:color="auto" w:fill="FFFFFF"/>
        </w:rPr>
      </w:pPr>
    </w:p>
    <w:p w14:paraId="2BBBE951" w14:textId="77777777" w:rsidR="005166B0" w:rsidRPr="005166B0" w:rsidRDefault="005166B0" w:rsidP="005166B0">
      <w:pPr>
        <w:pStyle w:val="BodyB"/>
        <w:rPr>
          <w:rStyle w:val="None"/>
          <w:rFonts w:ascii="Calibri" w:eastAsia="Calibri" w:hAnsi="Calibri" w:cs="Calibri"/>
          <w:sz w:val="28"/>
          <w:szCs w:val="28"/>
          <w:u w:color="081CF5"/>
        </w:rPr>
      </w:pPr>
    </w:p>
    <w:p w14:paraId="41FAB639" w14:textId="500BC23A" w:rsidR="00BE7B88" w:rsidRDefault="00BE7B88">
      <w:pPr>
        <w:pStyle w:val="BodyB"/>
      </w:pPr>
    </w:p>
    <w:sectPr w:rsidR="00BE7B88">
      <w:headerReference w:type="default" r:id="rId18"/>
      <w:footerReference w:type="default" r:id="rId1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0A20" w14:textId="77777777" w:rsidR="00C50769" w:rsidRDefault="00C50769">
      <w:r>
        <w:separator/>
      </w:r>
    </w:p>
  </w:endnote>
  <w:endnote w:type="continuationSeparator" w:id="0">
    <w:p w14:paraId="7DF67704" w14:textId="77777777" w:rsidR="00C50769" w:rsidRDefault="00C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6B5" w14:textId="77777777" w:rsidR="00BE7B88" w:rsidRDefault="00BE7B8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D1D1" w14:textId="77777777" w:rsidR="00C50769" w:rsidRDefault="00C50769">
      <w:r>
        <w:separator/>
      </w:r>
    </w:p>
  </w:footnote>
  <w:footnote w:type="continuationSeparator" w:id="0">
    <w:p w14:paraId="03F0424A" w14:textId="77777777" w:rsidR="00C50769" w:rsidRDefault="00C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F785" w14:textId="77777777" w:rsidR="00BE7B88" w:rsidRDefault="00BE7B8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2222C"/>
    <w:multiLevelType w:val="hybridMultilevel"/>
    <w:tmpl w:val="A75E6B48"/>
    <w:numStyleLink w:val="ImportedStyle2"/>
  </w:abstractNum>
  <w:abstractNum w:abstractNumId="1" w15:restartNumberingAfterBreak="0">
    <w:nsid w:val="67AE4CE6"/>
    <w:multiLevelType w:val="hybridMultilevel"/>
    <w:tmpl w:val="A75E6B48"/>
    <w:styleLink w:val="ImportedStyle2"/>
    <w:lvl w:ilvl="0" w:tplc="2A72C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29B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7A99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9CA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C37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5289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C89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DAD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46A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3183791">
    <w:abstractNumId w:val="1"/>
  </w:num>
  <w:num w:numId="2" w16cid:durableId="1184828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88"/>
    <w:rsid w:val="005166B0"/>
    <w:rsid w:val="00BE7B88"/>
    <w:rsid w:val="00C50769"/>
    <w:rsid w:val="00C6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CC2F4"/>
  <w15:docId w15:val="{BF049ACD-0FC4-6943-AC8E-3AB9FDB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1"/>
      </w:numPr>
    </w:p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1">
    <w:name w:val="Hyperlink.1"/>
    <w:basedOn w:val="None"/>
    <w:rPr>
      <w:caps w:val="0"/>
      <w:smallCaps w:val="0"/>
      <w:strike w:val="0"/>
      <w:dstrike w:val="0"/>
      <w:outline w:val="0"/>
      <w:color w:val="0000FF"/>
      <w:spacing w:val="0"/>
      <w:kern w:val="2"/>
      <w:position w:val="0"/>
      <w:u w:val="single" w:color="0000FF"/>
      <w:vertAlign w:val="baselin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one"/>
    <w:rPr>
      <w:outline w:val="0"/>
      <w:color w:val="0000FF"/>
      <w:kern w:val="2"/>
      <w:u w:val="single" w:color="0000FF"/>
      <w:lang w:val="en-US"/>
    </w:rPr>
  </w:style>
  <w:style w:type="character" w:customStyle="1" w:styleId="Hyperlink3">
    <w:name w:val="Hyperlink.3"/>
    <w:basedOn w:val="None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4">
    <w:name w:val="Hyperlink.4"/>
    <w:basedOn w:val="None"/>
    <w:rPr>
      <w:rFonts w:ascii="Arial" w:eastAsia="Arial" w:hAnsi="Arial" w:cs="Arial"/>
      <w:outline w:val="0"/>
      <w:color w:val="0068DA"/>
      <w:sz w:val="43"/>
      <w:szCs w:val="43"/>
      <w:u w:val="single" w:color="0067D9"/>
      <w:shd w:val="clear" w:color="auto" w:fill="FFFFFF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None"/>
    <w:rPr>
      <w:outline w:val="0"/>
      <w:color w:val="0000FF"/>
      <w:u w:val="single" w:color="0000FF"/>
      <w:lang w:val="en-US"/>
    </w:rPr>
  </w:style>
  <w:style w:type="character" w:customStyle="1" w:styleId="Hyperlink6">
    <w:name w:val="Hyperlink.6"/>
    <w:basedOn w:val="None"/>
    <w:rPr>
      <w:rFonts w:ascii="Tahoma" w:eastAsia="Tahoma" w:hAnsi="Tahoma" w:cs="Tahoma"/>
      <w:outline w:val="0"/>
      <w:color w:val="0000FF"/>
      <w:sz w:val="28"/>
      <w:szCs w:val="28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60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9F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ps.org/earlychildhood" TargetMode="External"/><Relationship Id="rId13" Type="http://schemas.openxmlformats.org/officeDocument/2006/relationships/hyperlink" Target="https://www.aacpl.net/services/discoveries/pantr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aacpl.net/1000-books-before-kindergarten" TargetMode="External"/><Relationship Id="rId17" Type="http://schemas.openxmlformats.org/officeDocument/2006/relationships/hyperlink" Target="https://nhsa.org/take-action/?vvsrc=%2fCampaigns%2f103764%2fRespo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erotothree.org/issue-areas/early-learn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cpl.net/kindergart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adyatfive.org/" TargetMode="External"/><Relationship Id="rId10" Type="http://schemas.openxmlformats.org/officeDocument/2006/relationships/hyperlink" Target="https://www.cfaac.org/needs-assessment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acounty.org/partnership-for-children-youth-and-families" TargetMode="External"/><Relationship Id="rId14" Type="http://schemas.openxmlformats.org/officeDocument/2006/relationships/hyperlink" Target="https://aaccaa.org/early-head-star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Maryann Gosnell</cp:lastModifiedBy>
  <cp:revision>3</cp:revision>
  <cp:lastPrinted>2023-11-17T15:27:00Z</cp:lastPrinted>
  <dcterms:created xsi:type="dcterms:W3CDTF">2023-11-17T15:26:00Z</dcterms:created>
  <dcterms:modified xsi:type="dcterms:W3CDTF">2023-11-17T16:04:00Z</dcterms:modified>
</cp:coreProperties>
</file>